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color w:val="auto"/>
          <w:sz w:val="32"/>
          <w:szCs w:val="32"/>
          <w:highlight w:val="none"/>
          <w:lang w:eastAsia="zh-CN"/>
        </w:rPr>
        <w:t>金融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学0202</w:t>
      </w:r>
      <w:r>
        <w:rPr>
          <w:rFonts w:hint="eastAsia" w:ascii="宋体" w:hAnsi="宋体" w:cs="宋体"/>
          <w:b/>
          <w:color w:val="auto"/>
          <w:sz w:val="32"/>
          <w:szCs w:val="32"/>
          <w:highlight w:val="none"/>
          <w:lang w:val="en-US" w:eastAsia="zh-CN"/>
        </w:rPr>
        <w:t>04</w:t>
      </w:r>
    </w:p>
    <w:bookmarkEnd w:id="0"/>
    <w:p>
      <w:pPr>
        <w:spacing w:line="52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培养目标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坚持立德树人，培养德、智、体、美全面发展，具有坚定正确的政治方向、人生观、价值观和世界观，遵纪守法、品德良好以及体魄健康，具备扎实的经济学理论知识，掌握现代经济学研究方法和分析工具，具有国际视野和较强的国际交流能力，能够对现实经济问题进行分析、研究和提出解决方案，具有继续深造学习的基础和能力，服务广东、面向全国经济社会发展需要，可从事教学科研以及综合经济管理部门、金融机构、工商企业的经济分析与管理工作的专门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二、学科及研究方向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（四）金融学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（学科代码020204）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1.金融理论与政策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2.金融工程与风险管理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3.微金融与科技金融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三、学习年限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学制3年，最长学习年限5年（含休学和保留学籍），学位论文工作时间不少于1年。对提前完成规定学业、成绩特别优秀的研究生，可按《广东财经大学硕士研究生提前毕业暂行规定》申请提前毕业。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四、培养方式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研究生培养采取指导教师负责制和导师组集体培养相结合、理论学习与科学研究相结合的方式。研究生入学确定导师后两周内制定培养计划，第四学期结束前按照《广东财经大学研究生中期考核办法》参加中期考核，中期考核通过者，方可继续培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五、课程设置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研究生课程分学位类和非学位类两种，学术学位公共学位课、学科基础课、专业核心课为学位类课程，学术学位专业选修课、公共选修课为非学位类课程，18个学时计1学分。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六、其它培养环节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（一）专业实践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专业实践一般安排在第四学期，时间不少于1个月，可通过社会调查、教学实践、科研实践、社会实践、专业实习等方式进行，实践活动结束（不迟于第五学期第10教学周）提交实践报告（3000字左右），指导教师进行评价鉴定，合格者计1学分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（二）学术活动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研究生在学期间应积极参加各类学术活动，参加或听取不少于12场（学校、学院组织或经导师认可），由学院进行考核，合格者计0.5学分；中期考核前完成不少于8000字的学术论文写作并主讲汇报，由中期考核小组考核，合格者计0.5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（三）文献阅读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研究生在导师指导下结合论文选题的需要，应阅读一定数量的中外文献资料，中期考核前写出不少于5篇读书报告交导师评阅，读书报告、导师评阅意见于中期考核前交所在培养单位，合格者计1学分。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七、考核方式及要求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经考核合格，学位类课程达到70分及以上可获得学分，其他类课程达到60分及以上可获得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跨专业及同等学力考取的研究生应补修4门本科主干课程并列入个人培养计划，具体是《西方经济学》、《统计学》、《国际经济学》、《金融学》，补修方式按学院规定。补修课程采取闭卷考试，达到60分为合格，不记学分，应补修而未补修或者补修成绩不合格者不能进入学位论文撰写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八、毕业学分及要求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毕业要求总学分应修满 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 学分，其中课程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学分（公共选修课应修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2学分，其中研究生体育必修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），实践活动1学分，学术活动1学分，文献阅读1学分。研究生修满学分，完成必修环节，中期考核合格，完成毕业论文并通过毕业答辩的，方可毕业。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0" w:firstLineChars="196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九、学位论文及学位授予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硕士学位论文工作包括选题、开题报告、中期检查、资格审查、论文初评、重复率检测、盲审、答辩等环节。本学科硕士学位论文字数应不少于3万字，选题应属于本学科范畴，有一定的理论意义或实践价值，对所研究领域有新见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本学科硕士学位论文工作进度：根据导师要求按时确定学位论文选题，第四学期完成学位论文开题，开题后3-6个月内参加学位论文中期检查，第五学期完成学位论文初稿，第六学期初提交学位申请，参加资格审核，提交学位论文定稿。学位论文通过重复率检测、盲审等环节后，研究生可申请答辩。研究生在学位论文工作期间应持续修改完善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研究生按照培养方案要求，修满课程学分和其它培养环节学分，学位类课程平均成绩不低于75分，中期考核合格，以广东财经大学为第一署名单位取得本学科相关的创新成果1项，通过学位论文答辩，经校学位评定委员会审议通过后，可授予硕士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Fonts w:hint="eastAsia" w:ascii="宋体" w:hAnsi="宋体" w:eastAsia="宋体" w:cs="Times New Roman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硕士学位论文的规范性要求、质量要求见《广东财经大学一级学科硕士学位授予标准》、《广东财经大学专业学位授予标准》和《广东财经大学硕士学位论文写作规则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>
      <w:pPr>
        <w:spacing w:line="420" w:lineRule="exact"/>
        <w:ind w:firstLine="482"/>
        <w:rPr>
          <w:rFonts w:ascii="宋体" w:hAnsi="宋体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教学设置</w:t>
      </w:r>
    </w:p>
    <w:p>
      <w:pPr>
        <w:rPr>
          <w:rFonts w:hint="eastAsia"/>
          <w:b/>
          <w:color w:val="auto"/>
          <w:sz w:val="24"/>
          <w:highlight w:val="none"/>
        </w:rPr>
      </w:pPr>
    </w:p>
    <w:p>
      <w:pPr>
        <w:ind w:firstLine="482" w:firstLineChars="200"/>
        <w:rPr>
          <w:rFonts w:hint="eastAsia"/>
          <w:b/>
          <w:color w:val="auto"/>
          <w:sz w:val="24"/>
          <w:highlight w:val="none"/>
        </w:rPr>
      </w:pPr>
      <w:r>
        <w:rPr>
          <w:rFonts w:hint="eastAsia"/>
          <w:b/>
          <w:color w:val="auto"/>
          <w:sz w:val="24"/>
          <w:highlight w:val="none"/>
        </w:rPr>
        <w:t>金融学</w:t>
      </w:r>
    </w:p>
    <w:tbl>
      <w:tblPr>
        <w:tblStyle w:val="2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10"/>
        <w:gridCol w:w="2310"/>
        <w:gridCol w:w="705"/>
        <w:gridCol w:w="660"/>
        <w:gridCol w:w="690"/>
        <w:gridCol w:w="1770"/>
        <w:gridCol w:w="151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课程编号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任课教师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开课单位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公共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学位课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S2201004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马克思主义理论课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马克思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主义学院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S4101004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基础英语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108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外国语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学科基础课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中级微观经济学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中级宏观经济学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中级计量经济学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核心课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公司金融理论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蔡卫星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现代投资理论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朱顺泉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S1203003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邹新月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彭大衡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选修课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国际金融研究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骆祚炎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黄金波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潘成夫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S1203001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金融前沿问题研究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(含学术论文写作专题）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赵建群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S1203002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金融经典名著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（篇）阅读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 xml:space="preserve">刘  刚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S1202004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风险管理理论与方法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刘湘云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S1202005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金融工程学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彭大衡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黄金波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商业银行研究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王向荣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张世春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S1202007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基金投资与管理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 xml:space="preserve">孟令国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S1202008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财富管理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 xml:space="preserve">黄德权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S1202009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资本市场运作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胡新明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S1202010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微金融与科技金融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丁  杰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袁  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S1202011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博弈论与信息经济学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朱顺泉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微观计量工具与应用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徐淑一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米银霞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S12020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房地产金融投资理论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段军山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公共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选修课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研究方法工具及应用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会计学院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博雅基础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人文与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传播学院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S0004015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中观经济学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国家金融学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创新创业类专题课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日语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外国语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研究生体育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教学部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  <w:t>其它培养环节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专业实践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学术活动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文献阅读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跨专业及同等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学力补修课程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《西方经济学》、《统计学》、《国际经济学》、《金融学》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总学分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学分</w:t>
            </w:r>
          </w:p>
        </w:tc>
      </w:tr>
    </w:tbl>
    <w:p>
      <w:pP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</w:p>
    <w:p>
      <w:pPr>
        <w:ind w:firstLine="482" w:firstLineChars="200"/>
        <w:rPr>
          <w:rFonts w:hint="eastAsia" w:eastAsia="宋体"/>
          <w:b/>
          <w:color w:val="auto"/>
          <w:sz w:val="24"/>
          <w:highlight w:val="none"/>
          <w:lang w:eastAsia="zh-CN"/>
        </w:rPr>
      </w:pPr>
      <w:r>
        <w:rPr>
          <w:rFonts w:hint="eastAsia"/>
          <w:b/>
          <w:color w:val="auto"/>
          <w:sz w:val="24"/>
          <w:highlight w:val="none"/>
          <w:lang w:eastAsia="zh-CN"/>
        </w:rPr>
        <w:t>产业经济学</w:t>
      </w:r>
    </w:p>
    <w:tbl>
      <w:tblPr>
        <w:tblStyle w:val="2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10"/>
        <w:gridCol w:w="2310"/>
        <w:gridCol w:w="705"/>
        <w:gridCol w:w="660"/>
        <w:gridCol w:w="690"/>
        <w:gridCol w:w="1770"/>
        <w:gridCol w:w="151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课程编号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学期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任课教师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开课单位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公共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学位课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S2201004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马克思主义理论课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马克思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主义学院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S4101004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基础英语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108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外国语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学科基础课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中级微观经济学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中级宏观经济学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S0001003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中级计量经济学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核心课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S1103001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产业经济学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1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1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pStyle w:val="73"/>
              <w:spacing w:before="85"/>
              <w:ind w:left="160" w:leftChars="0" w:right="29" w:righ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pacing w:val="-1"/>
                <w:highlight w:val="none"/>
              </w:rPr>
              <w:t xml:space="preserve">喻卫斌 李景海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S1103002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产业组织理论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1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赵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highlight w:val="none"/>
              </w:rPr>
              <w:t xml:space="preserve"> 卓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top"/>
          </w:tcPr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spacing w:before="176" w:line="213" w:lineRule="auto"/>
              <w:ind w:left="209" w:leftChars="0" w:right="93" w:rightChars="0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专业选修课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3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制度经济学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3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3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3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3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highlight w:val="none"/>
              </w:rPr>
              <w:t>徐忠爱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3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S1102008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规制经济学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晏宗新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产业发展与政策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highlight w:val="none"/>
              </w:rPr>
              <w:t>林仲豪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佛山现代服务业</w:t>
            </w:r>
            <w:r>
              <w:rPr>
                <w:color w:val="auto"/>
                <w:highlight w:val="none"/>
              </w:rPr>
              <w:t>研究院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博弈论与信息经济学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肖曙光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企业理论与公司治理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徐忠爱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S1103006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ind w:right="67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区域经济理论与政策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刘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highlight w:val="none"/>
              </w:rPr>
              <w:t xml:space="preserve"> 佳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发展经济学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黄晓凤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77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数字经济与产业融资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矫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</w:rPr>
              <w:t>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广东经济社会发展研究院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78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湾区</w:t>
            </w:r>
            <w:r>
              <w:rPr>
                <w:color w:val="auto"/>
                <w:highlight w:val="none"/>
              </w:rPr>
              <w:t>产业发展与</w:t>
            </w:r>
            <w:r>
              <w:rPr>
                <w:rFonts w:hint="eastAsia"/>
                <w:color w:val="auto"/>
                <w:highlight w:val="none"/>
              </w:rPr>
              <w:t>城市</w:t>
            </w:r>
            <w:r>
              <w:rPr>
                <w:color w:val="auto"/>
                <w:highlight w:val="none"/>
              </w:rPr>
              <w:t>功能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王</w:t>
            </w:r>
            <w:r>
              <w:rPr>
                <w:color w:val="auto"/>
                <w:highlight w:val="none"/>
              </w:rPr>
              <w:t>志勇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佛山</w:t>
            </w:r>
            <w:r>
              <w:rPr>
                <w:color w:val="auto"/>
                <w:highlight w:val="none"/>
              </w:rPr>
              <w:t>现代服务业研究院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S1102007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ind w:right="41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产业经济学前沿研究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(含学术论文写作专题）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left="143" w:leftChars="0" w:right="29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喻卫斌等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left="210" w:leftChars="0" w:right="9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top"/>
          </w:tcPr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spacing w:before="3"/>
              <w:jc w:val="left"/>
              <w:rPr>
                <w:b/>
                <w:color w:val="auto"/>
                <w:sz w:val="18"/>
                <w:highlight w:val="none"/>
              </w:rPr>
            </w:pPr>
          </w:p>
          <w:p>
            <w:pPr>
              <w:pStyle w:val="73"/>
              <w:spacing w:before="1" w:line="213" w:lineRule="auto"/>
              <w:ind w:left="209" w:leftChars="0" w:right="93" w:righ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公共选修课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研究方法工具及应用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会计学院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博雅基础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人文与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传播学院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S0004015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中观经济学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国家金融学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金融学院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创新创业类专题课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工商管理学院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日语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外国语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学院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</w:rPr>
              <w:t>S000401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研究生体育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课程组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教学部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top"/>
          </w:tcPr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spacing w:before="2"/>
              <w:jc w:val="left"/>
              <w:rPr>
                <w:b/>
                <w:color w:val="auto"/>
                <w:sz w:val="14"/>
                <w:highlight w:val="none"/>
              </w:rPr>
            </w:pPr>
          </w:p>
          <w:p>
            <w:pPr>
              <w:pStyle w:val="73"/>
              <w:spacing w:line="213" w:lineRule="auto"/>
              <w:ind w:left="209" w:leftChars="0" w:right="93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其它培养环节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left="115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专业实践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pStyle w:val="73"/>
              <w:spacing w:before="85"/>
              <w:ind w:left="2423" w:leftChars="0" w:right="2306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left="115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学术活动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pStyle w:val="73"/>
              <w:spacing w:before="85"/>
              <w:ind w:left="2423" w:leftChars="0" w:right="2306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left="115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文献阅读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pStyle w:val="73"/>
              <w:spacing w:before="85"/>
              <w:ind w:left="2423" w:leftChars="0" w:right="2306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1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"/>
              <w:jc w:val="center"/>
              <w:rPr>
                <w:b/>
                <w:color w:val="auto"/>
                <w:sz w:val="17"/>
                <w:highlight w:val="none"/>
              </w:rPr>
            </w:pPr>
          </w:p>
          <w:p>
            <w:pPr>
              <w:pStyle w:val="73"/>
              <w:ind w:left="115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129" w:line="213" w:lineRule="auto"/>
              <w:ind w:right="41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color w:val="auto"/>
                <w:highlight w:val="none"/>
              </w:rPr>
              <w:t>跨专业及同等学力补修课程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pStyle w:val="73"/>
              <w:spacing w:before="129" w:line="213" w:lineRule="auto"/>
              <w:ind w:left="2549" w:leftChars="0" w:right="116" w:rightChars="0" w:hanging="2418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《西方经济学》、《统计学》、《国际经济学》、《金融学》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74" w:type="dxa"/>
            <w:gridSpan w:val="3"/>
            <w:noWrap w:val="0"/>
            <w:vAlign w:val="center"/>
          </w:tcPr>
          <w:p>
            <w:pPr>
              <w:pStyle w:val="73"/>
              <w:spacing w:before="82"/>
              <w:ind w:right="173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color w:val="auto"/>
                <w:highlight w:val="none"/>
                <w:lang w:eastAsia="zh-CN"/>
              </w:rPr>
              <w:t>总学分</w:t>
            </w:r>
          </w:p>
        </w:tc>
        <w:tc>
          <w:tcPr>
            <w:tcW w:w="6074" w:type="dxa"/>
            <w:gridSpan w:val="6"/>
            <w:noWrap w:val="0"/>
            <w:vAlign w:val="center"/>
          </w:tcPr>
          <w:p>
            <w:pPr>
              <w:pStyle w:val="73"/>
              <w:spacing w:before="82"/>
              <w:ind w:left="2425" w:leftChars="0" w:right="2306" w:rightChars="0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39</w:t>
            </w:r>
            <w:r>
              <w:rPr>
                <w:color w:val="auto"/>
                <w:highlight w:val="none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  <w:lang w:eastAsia="zh-CN"/>
              </w:rPr>
              <w:t>核心课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S1103001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产业经济学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1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54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5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1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pStyle w:val="73"/>
              <w:spacing w:before="85"/>
              <w:ind w:left="160" w:leftChars="0" w:right="29" w:rightChars="0"/>
              <w:rPr>
                <w:color w:val="auto"/>
                <w:highlight w:val="none"/>
              </w:rPr>
            </w:pPr>
            <w:r>
              <w:rPr>
                <w:color w:val="auto"/>
                <w:spacing w:val="-1"/>
                <w:highlight w:val="none"/>
              </w:rPr>
              <w:t xml:space="preserve">喻卫斌 李景海 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before="85"/>
              <w:ind w:left="210" w:leftChars="0" w:right="91" w:rightChars="0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2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S1103002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产业组织理论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2"/>
              <w:ind w:right="18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2"/>
              <w:ind w:right="45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2"/>
              <w:ind w:right="48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2"/>
              <w:ind w:right="29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赵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color w:val="auto"/>
                <w:highlight w:val="none"/>
              </w:rPr>
              <w:t xml:space="preserve"> 卓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2"/>
              <w:ind w:right="91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before="82"/>
              <w:ind w:left="210" w:leftChars="0" w:right="91" w:rightChars="0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restart"/>
            <w:noWrap w:val="0"/>
            <w:vAlign w:val="top"/>
          </w:tcPr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jc w:val="left"/>
              <w:rPr>
                <w:b/>
                <w:color w:val="auto"/>
                <w:sz w:val="20"/>
                <w:highlight w:val="none"/>
              </w:rPr>
            </w:pPr>
          </w:p>
          <w:p>
            <w:pPr>
              <w:pStyle w:val="73"/>
              <w:spacing w:before="176" w:line="213" w:lineRule="auto"/>
              <w:ind w:left="209" w:leftChars="0" w:right="93" w:righ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专业选修课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3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制度经济学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3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3"/>
              <w:ind w:right="43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3"/>
              <w:ind w:right="48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3"/>
              <w:ind w:right="29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徐忠爱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3"/>
              <w:ind w:right="91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pStyle w:val="73"/>
              <w:spacing w:before="83"/>
              <w:ind w:left="210" w:leftChars="0" w:right="91" w:rightChars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S1102008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规制经济学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晏宗新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经济学院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before="85"/>
              <w:ind w:left="210" w:leftChars="0" w:right="91" w:rightChars="0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4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pStyle w:val="73"/>
              <w:spacing w:before="85"/>
              <w:ind w:right="41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S1102002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73"/>
              <w:spacing w:before="85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产业发展与政策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73"/>
              <w:spacing w:before="85"/>
              <w:ind w:right="75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t>36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73"/>
              <w:spacing w:before="85"/>
              <w:ind w:right="43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73"/>
              <w:spacing w:before="85"/>
              <w:ind w:right="48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73"/>
              <w:spacing w:before="85"/>
              <w:ind w:right="29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林仲豪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pStyle w:val="73"/>
              <w:spacing w:before="85"/>
              <w:ind w:right="91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佛山现代服务业</w:t>
            </w:r>
            <w:r>
              <w:rPr>
                <w:color w:val="auto"/>
                <w:highlight w:val="none"/>
              </w:rPr>
              <w:t>研究院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before="85"/>
              <w:ind w:left="210" w:leftChars="0" w:right="91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考查</w:t>
            </w:r>
          </w:p>
        </w:tc>
      </w:tr>
    </w:tbl>
    <w:p>
      <w:pPr>
        <w:widowControl/>
        <w:jc w:val="left"/>
        <w:rPr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color w:val="auto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附录：必读书目（含经典著作、专业文献和专业学术期刊）另列。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D6517"/>
    <w:multiLevelType w:val="singleLevel"/>
    <w:tmpl w:val="648D6517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74"/>
    <w:rsid w:val="006B1F74"/>
    <w:rsid w:val="0080587B"/>
    <w:rsid w:val="00EC0154"/>
    <w:rsid w:val="00EC7CA3"/>
    <w:rsid w:val="00F61BD9"/>
    <w:rsid w:val="0ECD29C0"/>
    <w:rsid w:val="152743AB"/>
    <w:rsid w:val="18094DF9"/>
    <w:rsid w:val="18E402AE"/>
    <w:rsid w:val="19E2591E"/>
    <w:rsid w:val="28F16410"/>
    <w:rsid w:val="2DBC06ED"/>
    <w:rsid w:val="2ECD103E"/>
    <w:rsid w:val="35D5417E"/>
    <w:rsid w:val="36052922"/>
    <w:rsid w:val="411C032C"/>
    <w:rsid w:val="424379BD"/>
    <w:rsid w:val="4ECF1F48"/>
    <w:rsid w:val="58141440"/>
    <w:rsid w:val="6C720D33"/>
    <w:rsid w:val="6C816297"/>
    <w:rsid w:val="6F085013"/>
    <w:rsid w:val="76C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2"/>
    <w:unhideWhenUsed/>
    <w:qFormat/>
    <w:uiPriority w:val="0"/>
    <w:pPr>
      <w:jc w:val="left"/>
      <w:outlineLvl w:val="1"/>
    </w:pPr>
    <w:rPr>
      <w:rFonts w:eastAsia="黑体" w:asciiTheme="majorHAnsi" w:hAnsiTheme="majorHAnsi" w:cstheme="majorBidi"/>
      <w:bCs/>
      <w:sz w:val="30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50" w:beforeLines="50" w:after="50" w:afterLines="50"/>
      <w:jc w:val="left"/>
      <w:outlineLvl w:val="2"/>
    </w:pPr>
    <w:rPr>
      <w:rFonts w:eastAsia="黑体"/>
      <w:bCs/>
      <w:sz w:val="28"/>
      <w:szCs w:val="32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6"/>
    <w:qFormat/>
    <w:uiPriority w:val="0"/>
    <w:pPr>
      <w:shd w:val="clear" w:color="auto" w:fill="000080"/>
    </w:pPr>
  </w:style>
  <w:style w:type="paragraph" w:styleId="6">
    <w:name w:val="annotation text"/>
    <w:basedOn w:val="1"/>
    <w:link w:val="37"/>
    <w:qFormat/>
    <w:uiPriority w:val="99"/>
    <w:pPr>
      <w:jc w:val="left"/>
    </w:pPr>
  </w:style>
  <w:style w:type="paragraph" w:styleId="7">
    <w:name w:val="Body Text Indent"/>
    <w:basedOn w:val="1"/>
    <w:link w:val="38"/>
    <w:qFormat/>
    <w:uiPriority w:val="99"/>
    <w:pPr>
      <w:spacing w:after="120"/>
      <w:ind w:left="420" w:leftChars="200"/>
    </w:p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9">
    <w:name w:val="Plain Text"/>
    <w:basedOn w:val="1"/>
    <w:link w:val="39"/>
    <w:qFormat/>
    <w:uiPriority w:val="0"/>
    <w:rPr>
      <w:rFonts w:ascii="宋体" w:hAnsi="Courier New"/>
    </w:rPr>
  </w:style>
  <w:style w:type="paragraph" w:styleId="10">
    <w:name w:val="Body Text Indent 2"/>
    <w:basedOn w:val="1"/>
    <w:link w:val="40"/>
    <w:qFormat/>
    <w:uiPriority w:val="0"/>
    <w:pPr>
      <w:spacing w:after="120" w:line="480" w:lineRule="auto"/>
      <w:ind w:left="420" w:leftChars="200"/>
    </w:pPr>
  </w:style>
  <w:style w:type="paragraph" w:styleId="11">
    <w:name w:val="endnote text"/>
    <w:basedOn w:val="1"/>
    <w:link w:val="41"/>
    <w:qFormat/>
    <w:uiPriority w:val="0"/>
    <w:pPr>
      <w:snapToGrid w:val="0"/>
      <w:jc w:val="left"/>
    </w:pPr>
  </w:style>
  <w:style w:type="paragraph" w:styleId="12">
    <w:name w:val="Balloon Text"/>
    <w:basedOn w:val="1"/>
    <w:link w:val="42"/>
    <w:qFormat/>
    <w:uiPriority w:val="99"/>
    <w:rPr>
      <w:sz w:val="18"/>
      <w:szCs w:val="18"/>
    </w:rPr>
  </w:style>
  <w:style w:type="paragraph" w:styleId="13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widowControl/>
      <w:tabs>
        <w:tab w:val="right" w:leader="dot" w:pos="8844"/>
      </w:tabs>
      <w:spacing w:after="100" w:line="500" w:lineRule="exact"/>
      <w:jc w:val="left"/>
    </w:pPr>
    <w:rPr>
      <w:rFonts w:ascii="黑体" w:hAnsi="黑体" w:eastAsia="黑体"/>
      <w:b/>
      <w:bCs/>
      <w:kern w:val="0"/>
      <w:sz w:val="28"/>
      <w:szCs w:val="28"/>
    </w:rPr>
  </w:style>
  <w:style w:type="paragraph" w:styleId="16">
    <w:name w:val="footnote text"/>
    <w:basedOn w:val="1"/>
    <w:link w:val="4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Body Text Indent 3"/>
    <w:basedOn w:val="1"/>
    <w:link w:val="44"/>
    <w:qFormat/>
    <w:uiPriority w:val="0"/>
    <w:pPr>
      <w:spacing w:line="440" w:lineRule="exact"/>
      <w:ind w:firstLine="480" w:firstLineChars="200"/>
    </w:pPr>
    <w:rPr>
      <w:color w:val="FF6600"/>
      <w:sz w:val="24"/>
    </w:rPr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9">
    <w:name w:val="HTML Preformatted"/>
    <w:basedOn w:val="1"/>
    <w:link w:val="4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1">
    <w:name w:val="annotation subject"/>
    <w:basedOn w:val="6"/>
    <w:next w:val="6"/>
    <w:link w:val="46"/>
    <w:unhideWhenUsed/>
    <w:qFormat/>
    <w:uiPriority w:val="99"/>
    <w:rPr>
      <w:b/>
      <w:bCs/>
      <w:szCs w:val="22"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0"/>
    <w:rPr>
      <w:rFonts w:ascii="Tahoma" w:hAnsi="Tahoma" w:eastAsia="Tahoma" w:cs="Tahoma"/>
      <w:b/>
      <w:sz w:val="24"/>
    </w:rPr>
  </w:style>
  <w:style w:type="character" w:styleId="26">
    <w:name w:val="page number"/>
    <w:qFormat/>
    <w:uiPriority w:val="0"/>
  </w:style>
  <w:style w:type="character" w:styleId="27">
    <w:name w:val="FollowedHyperlink"/>
    <w:qFormat/>
    <w:uiPriority w:val="0"/>
    <w:rPr>
      <w:rFonts w:hint="default" w:ascii="Tahoma" w:hAnsi="Tahoma" w:eastAsia="Tahoma" w:cs="Tahoma"/>
      <w:color w:val="800080"/>
      <w:sz w:val="18"/>
      <w:szCs w:val="18"/>
      <w:u w:val="single"/>
    </w:rPr>
  </w:style>
  <w:style w:type="character" w:styleId="28">
    <w:name w:val="Emphasis"/>
    <w:qFormat/>
    <w:uiPriority w:val="0"/>
    <w:rPr>
      <w:rFonts w:ascii="Tahoma" w:hAnsi="Tahoma"/>
      <w:i/>
      <w:sz w:val="24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footnote reference"/>
    <w:qFormat/>
    <w:uiPriority w:val="0"/>
    <w:rPr>
      <w:vertAlign w:val="superscript"/>
    </w:rPr>
  </w:style>
  <w:style w:type="character" w:customStyle="1" w:styleId="31">
    <w:name w:val="标题 1 字符"/>
    <w:basedOn w:val="2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32">
    <w:name w:val="标题 2 字符"/>
    <w:basedOn w:val="24"/>
    <w:link w:val="3"/>
    <w:qFormat/>
    <w:uiPriority w:val="0"/>
    <w:rPr>
      <w:rFonts w:eastAsia="黑体" w:asciiTheme="majorHAnsi" w:hAnsiTheme="majorHAnsi" w:cstheme="majorBidi"/>
      <w:bCs/>
      <w:sz w:val="30"/>
      <w:szCs w:val="32"/>
    </w:rPr>
  </w:style>
  <w:style w:type="character" w:customStyle="1" w:styleId="33">
    <w:name w:val="标题 3 字符"/>
    <w:basedOn w:val="24"/>
    <w:link w:val="4"/>
    <w:qFormat/>
    <w:uiPriority w:val="9"/>
    <w:rPr>
      <w:rFonts w:eastAsia="黑体"/>
      <w:bCs/>
      <w:sz w:val="28"/>
      <w:szCs w:val="32"/>
    </w:rPr>
  </w:style>
  <w:style w:type="character" w:customStyle="1" w:styleId="34">
    <w:name w:val="页眉 字符"/>
    <w:basedOn w:val="24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脚 字符"/>
    <w:basedOn w:val="24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文档结构图 字符"/>
    <w:basedOn w:val="24"/>
    <w:link w:val="5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37">
    <w:name w:val="批注文字 字符"/>
    <w:basedOn w:val="24"/>
    <w:link w:val="6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8">
    <w:name w:val="正文文本缩进 字符"/>
    <w:basedOn w:val="24"/>
    <w:link w:val="7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9">
    <w:name w:val="纯文本 字符"/>
    <w:basedOn w:val="24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40">
    <w:name w:val="正文文本缩进 2 字符"/>
    <w:basedOn w:val="24"/>
    <w:link w:val="1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1">
    <w:name w:val="尾注文本 字符"/>
    <w:basedOn w:val="24"/>
    <w:link w:val="1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2">
    <w:name w:val="批注框文本 字符"/>
    <w:basedOn w:val="24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脚注文本 字符"/>
    <w:basedOn w:val="24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正文文本缩进 3 字符"/>
    <w:basedOn w:val="24"/>
    <w:link w:val="17"/>
    <w:qFormat/>
    <w:uiPriority w:val="0"/>
    <w:rPr>
      <w:rFonts w:ascii="Times New Roman" w:hAnsi="Times New Roman" w:eastAsia="宋体" w:cs="Times New Roman"/>
      <w:color w:val="FF6600"/>
      <w:sz w:val="24"/>
      <w:szCs w:val="20"/>
    </w:rPr>
  </w:style>
  <w:style w:type="character" w:customStyle="1" w:styleId="45">
    <w:name w:val="HTML 预设格式 字符"/>
    <w:basedOn w:val="24"/>
    <w:link w:val="19"/>
    <w:qFormat/>
    <w:uiPriority w:val="99"/>
    <w:rPr>
      <w:rFonts w:ascii="宋体" w:hAnsi="宋体" w:eastAsia="宋体" w:cs="Times New Roman"/>
      <w:kern w:val="0"/>
      <w:sz w:val="24"/>
      <w:szCs w:val="20"/>
    </w:rPr>
  </w:style>
  <w:style w:type="character" w:customStyle="1" w:styleId="46">
    <w:name w:val="批注主题 字符"/>
    <w:basedOn w:val="37"/>
    <w:link w:val="21"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47">
    <w:name w:val="Char Char Char Char Char Char Char Char Char Char"/>
    <w:basedOn w:val="1"/>
    <w:qFormat/>
    <w:uiPriority w:val="0"/>
  </w:style>
  <w:style w:type="paragraph" w:customStyle="1" w:styleId="48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49">
    <w:name w:val="Char Char Char Char Char Char1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50">
    <w:name w:val="_Style 30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/>
      <w:b w:val="0"/>
      <w:bCs w:val="0"/>
      <w:color w:val="2E74B5"/>
      <w:kern w:val="0"/>
      <w:szCs w:val="32"/>
    </w:rPr>
  </w:style>
  <w:style w:type="paragraph" w:customStyle="1" w:styleId="51">
    <w:name w:val="1"/>
    <w:basedOn w:val="1"/>
    <w:next w:val="10"/>
    <w:qFormat/>
    <w:uiPriority w:val="0"/>
    <w:pPr>
      <w:ind w:firstLine="600"/>
    </w:pPr>
    <w:rPr>
      <w:rFonts w:eastAsia="仿宋_GB2312"/>
      <w:sz w:val="24"/>
    </w:rPr>
  </w:style>
  <w:style w:type="paragraph" w:customStyle="1" w:styleId="52">
    <w:name w:val="f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Char"/>
    <w:basedOn w:val="1"/>
    <w:qFormat/>
    <w:uiPriority w:val="0"/>
    <w:rPr>
      <w:rFonts w:ascii="Tahoma" w:hAnsi="Tahoma"/>
      <w:sz w:val="24"/>
    </w:rPr>
  </w:style>
  <w:style w:type="character" w:customStyle="1" w:styleId="54">
    <w:name w:val="脚注文本 Char1"/>
    <w:qFormat/>
    <w:uiPriority w:val="0"/>
    <w:rPr>
      <w:kern w:val="2"/>
      <w:sz w:val="18"/>
      <w:szCs w:val="18"/>
    </w:rPr>
  </w:style>
  <w:style w:type="character" w:customStyle="1" w:styleId="55">
    <w:name w:val="eseditbar1"/>
    <w:qFormat/>
    <w:uiPriority w:val="0"/>
    <w:rPr>
      <w:rFonts w:ascii="Tahoma" w:hAnsi="Tahoma"/>
      <w:color w:val="000000"/>
      <w:sz w:val="24"/>
    </w:rPr>
  </w:style>
  <w:style w:type="character" w:customStyle="1" w:styleId="56">
    <w:name w:val="纯文本 Char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7">
    <w:name w:val="bdexpandicon"/>
    <w:qFormat/>
    <w:uiPriority w:val="0"/>
    <w:rPr>
      <w:rFonts w:ascii="Webdings" w:hAnsi="Webdings" w:eastAsia="Webdings" w:cs="Webdings"/>
      <w:sz w:val="20"/>
      <w:szCs w:val="20"/>
    </w:rPr>
  </w:style>
  <w:style w:type="character" w:customStyle="1" w:styleId="58">
    <w:name w:val="HTML 预设格式 Char1"/>
    <w:qFormat/>
    <w:uiPriority w:val="0"/>
    <w:rPr>
      <w:rFonts w:ascii="Courier New" w:hAnsi="Courier New" w:cs="Courier New"/>
      <w:kern w:val="2"/>
    </w:rPr>
  </w:style>
  <w:style w:type="character" w:customStyle="1" w:styleId="59">
    <w:name w:val="bdexpandicon2"/>
    <w:qFormat/>
    <w:uiPriority w:val="0"/>
    <w:rPr>
      <w:rFonts w:hint="default" w:ascii="Tahoma" w:hAnsi="Tahoma" w:eastAsia="Tahoma" w:cs="Tahoma"/>
      <w:color w:val="000000"/>
      <w:sz w:val="14"/>
      <w:szCs w:val="14"/>
      <w:bdr w:val="single" w:color="000000" w:sz="4" w:space="0"/>
      <w:shd w:val="clear" w:color="auto" w:fill="FFFFFF"/>
      <w:vertAlign w:val="baseline"/>
    </w:rPr>
  </w:style>
  <w:style w:type="character" w:customStyle="1" w:styleId="60">
    <w:name w:val="尾注文本 Char1"/>
    <w:qFormat/>
    <w:uiPriority w:val="0"/>
    <w:rPr>
      <w:kern w:val="2"/>
      <w:sz w:val="21"/>
    </w:rPr>
  </w:style>
  <w:style w:type="character" w:customStyle="1" w:styleId="61">
    <w:name w:val="bdexpandicon1"/>
    <w:qFormat/>
    <w:uiPriority w:val="0"/>
    <w:rPr>
      <w:rFonts w:ascii="Tahoma" w:hAnsi="Tahoma"/>
      <w:color w:val="000000"/>
      <w:sz w:val="24"/>
    </w:rPr>
  </w:style>
  <w:style w:type="character" w:customStyle="1" w:styleId="62">
    <w:name w:val="eseditbar"/>
    <w:qFormat/>
    <w:uiPriority w:val="0"/>
    <w:rPr>
      <w:rFonts w:ascii="Tahoma" w:hAnsi="Tahoma"/>
      <w:color w:val="000000"/>
      <w:sz w:val="24"/>
      <w:shd w:val="clear" w:color="auto" w:fill="999999"/>
    </w:rPr>
  </w:style>
  <w:style w:type="character" w:customStyle="1" w:styleId="63">
    <w:name w:val="HTML 预设格式 Char2"/>
    <w:qFormat/>
    <w:uiPriority w:val="0"/>
    <w:rPr>
      <w:rFonts w:ascii="Courier New" w:hAnsi="Courier New" w:cs="Courier New"/>
      <w:kern w:val="2"/>
    </w:rPr>
  </w:style>
  <w:style w:type="character" w:customStyle="1" w:styleId="64">
    <w:name w:val="op_dict3_font241"/>
    <w:qFormat/>
    <w:uiPriority w:val="0"/>
    <w:rPr>
      <w:rFonts w:hint="default" w:ascii="Arial" w:hAnsi="Arial" w:cs="Arial"/>
      <w:sz w:val="36"/>
      <w:szCs w:val="36"/>
    </w:rPr>
  </w:style>
  <w:style w:type="character" w:customStyle="1" w:styleId="65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6">
    <w:name w:val="apple-converted-space"/>
    <w:qFormat/>
    <w:uiPriority w:val="0"/>
    <w:rPr>
      <w:rFonts w:ascii="Tahoma" w:hAnsi="Tahoma"/>
      <w:sz w:val="24"/>
    </w:rPr>
  </w:style>
  <w:style w:type="character" w:customStyle="1" w:styleId="67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8">
    <w:name w:val="不明显强调1"/>
    <w:basedOn w:val="2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69">
    <w:name w:val="List Paragraph"/>
    <w:basedOn w:val="1"/>
    <w:qFormat/>
    <w:uiPriority w:val="99"/>
    <w:pPr>
      <w:ind w:firstLine="420" w:firstLineChars="200"/>
    </w:pPr>
  </w:style>
  <w:style w:type="paragraph" w:customStyle="1" w:styleId="70">
    <w:name w:val="Char1"/>
    <w:basedOn w:val="1"/>
    <w:qFormat/>
    <w:uiPriority w:val="0"/>
    <w:rPr>
      <w:rFonts w:ascii="Tahoma" w:hAnsi="Tahoma"/>
      <w:sz w:val="24"/>
    </w:rPr>
  </w:style>
  <w:style w:type="paragraph" w:customStyle="1" w:styleId="7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Cs w:val="32"/>
    </w:rPr>
  </w:style>
  <w:style w:type="paragraph" w:customStyle="1" w:styleId="73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1382</Words>
  <Characters>7881</Characters>
  <Lines>65</Lines>
  <Paragraphs>18</Paragraphs>
  <TotalTime>4</TotalTime>
  <ScaleCrop>false</ScaleCrop>
  <LinksUpToDate>false</LinksUpToDate>
  <CharactersWithSpaces>9245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2021-07-26T04:28:00Z</dcterms:created>
  <dc:creator>lenovo</dc:creator>
  <cp:lastModifiedBy>王薇</cp:lastModifiedBy>
  <cp:lastPrinted>2021-08-20T08:40:00Z</cp:lastPrinted>
  <dcterms:modified xsi:type="dcterms:W3CDTF">2021-11-22T07:22:51Z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9D1A21A1BA8441FF9D5254B89F48F116</vt:lpwstr>
  </property>
</Properties>
</file>